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3712" w14:textId="5A927204" w:rsidR="00222A55" w:rsidRDefault="00E44473">
      <w:hyperlink r:id="rId4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https://m.flcgil.it/speciali/elezioni-cspi-si-vot</w:t>
        </w:r>
        <w:bookmarkStart w:id="0" w:name="_GoBack"/>
        <w:bookmarkEnd w:id="0"/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a-7-maggio-2024-sostieni-cgil-valore-scuola.flc</w:t>
        </w:r>
      </w:hyperlink>
    </w:p>
    <w:sectPr w:rsidR="00222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DF"/>
    <w:rsid w:val="00222A55"/>
    <w:rsid w:val="00E44473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7C1F-502E-4BAE-90D5-4FC7F5E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lcgil.it/speciali/elezioni-cspi-si-vota-7-maggio-2024-sostieni-cgil-valore-scuola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MIIC8DF00R</dc:creator>
  <cp:keywords/>
  <dc:description/>
  <cp:lastModifiedBy>MIIC8DF00R - SANDRO PERTINI</cp:lastModifiedBy>
  <cp:revision>2</cp:revision>
  <dcterms:created xsi:type="dcterms:W3CDTF">2024-04-30T08:01:00Z</dcterms:created>
  <dcterms:modified xsi:type="dcterms:W3CDTF">2024-04-30T08:01:00Z</dcterms:modified>
</cp:coreProperties>
</file>